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350D" w14:textId="6E1DD66D" w:rsidR="009C56E9" w:rsidRDefault="00E079D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WALTER F.</w:t>
      </w:r>
      <w:r w:rsidR="009C56E9">
        <w:rPr>
          <w:rFonts w:ascii="Arial" w:hAnsi="Arial" w:cs="Arial"/>
          <w:b/>
          <w:bCs/>
          <w:sz w:val="20"/>
        </w:rPr>
        <w:t xml:space="preserve"> AM BALL </w:t>
      </w:r>
      <w:r w:rsidR="009C56E9">
        <w:rPr>
          <w:rFonts w:ascii="Arial" w:hAnsi="Arial" w:cs="Arial"/>
          <w:sz w:val="20"/>
        </w:rPr>
        <w:t>– unter diesem Titel berichtet Walter Fiala über diverse Veranstaltungen.</w:t>
      </w:r>
    </w:p>
    <w:p w14:paraId="1E381030" w14:textId="77777777" w:rsidR="003337A7" w:rsidRDefault="003337A7">
      <w:pPr>
        <w:rPr>
          <w:rFonts w:ascii="Arial" w:hAnsi="Arial" w:cs="Arial"/>
          <w:sz w:val="20"/>
        </w:rPr>
      </w:pPr>
    </w:p>
    <w:p w14:paraId="67D1BA75" w14:textId="36A5BA1C" w:rsidR="00C37A12" w:rsidRDefault="00734F7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Wiener Liga </w:t>
      </w:r>
      <w:r w:rsidR="00CC6F7A">
        <w:rPr>
          <w:rFonts w:ascii="Arial" w:hAnsi="Arial" w:cs="Arial"/>
          <w:b/>
          <w:sz w:val="20"/>
        </w:rPr>
        <w:t>Team</w:t>
      </w:r>
      <w:r w:rsidR="003F1B80" w:rsidRPr="008E2ED4">
        <w:rPr>
          <w:rFonts w:ascii="Arial" w:hAnsi="Arial" w:cs="Arial"/>
          <w:b/>
          <w:bCs/>
          <w:sz w:val="20"/>
        </w:rPr>
        <w:t xml:space="preserve"> Herren 20</w:t>
      </w:r>
      <w:r w:rsidR="00C21E57">
        <w:rPr>
          <w:rFonts w:ascii="Arial" w:hAnsi="Arial" w:cs="Arial"/>
          <w:b/>
          <w:bCs/>
          <w:sz w:val="20"/>
        </w:rPr>
        <w:t>2</w:t>
      </w:r>
      <w:r w:rsidR="000C22E0">
        <w:rPr>
          <w:rFonts w:ascii="Arial" w:hAnsi="Arial" w:cs="Arial"/>
          <w:b/>
          <w:bCs/>
          <w:sz w:val="20"/>
        </w:rPr>
        <w:t>3</w:t>
      </w:r>
      <w:r w:rsidR="00C376F4" w:rsidRPr="008E2ED4">
        <w:rPr>
          <w:rFonts w:ascii="Arial" w:hAnsi="Arial" w:cs="Arial"/>
          <w:b/>
          <w:bCs/>
          <w:sz w:val="20"/>
        </w:rPr>
        <w:t>/</w:t>
      </w:r>
      <w:r w:rsidR="0015711F">
        <w:rPr>
          <w:rFonts w:ascii="Arial" w:hAnsi="Arial" w:cs="Arial"/>
          <w:b/>
          <w:bCs/>
          <w:sz w:val="20"/>
        </w:rPr>
        <w:t>2</w:t>
      </w:r>
      <w:r w:rsidR="000C22E0">
        <w:rPr>
          <w:rFonts w:ascii="Arial" w:hAnsi="Arial" w:cs="Arial"/>
          <w:b/>
          <w:bCs/>
          <w:sz w:val="20"/>
        </w:rPr>
        <w:t>4</w:t>
      </w:r>
      <w:r w:rsidR="00A11D80" w:rsidRPr="008E2ED4">
        <w:rPr>
          <w:rFonts w:ascii="Arial" w:hAnsi="Arial" w:cs="Arial"/>
          <w:b/>
          <w:bCs/>
          <w:sz w:val="20"/>
        </w:rPr>
        <w:t xml:space="preserve"> – </w:t>
      </w:r>
      <w:r w:rsidR="00F429C1">
        <w:rPr>
          <w:rFonts w:ascii="Arial" w:hAnsi="Arial" w:cs="Arial"/>
          <w:b/>
          <w:bCs/>
          <w:sz w:val="20"/>
        </w:rPr>
        <w:t>2</w:t>
      </w:r>
      <w:r w:rsidR="00A11D80" w:rsidRPr="008E2ED4">
        <w:rPr>
          <w:rFonts w:ascii="Arial" w:hAnsi="Arial" w:cs="Arial"/>
          <w:b/>
          <w:bCs/>
          <w:sz w:val="20"/>
        </w:rPr>
        <w:t xml:space="preserve">. Runde, </w:t>
      </w:r>
      <w:r w:rsidR="000C22E0">
        <w:rPr>
          <w:rFonts w:ascii="Arial" w:hAnsi="Arial" w:cs="Arial"/>
          <w:b/>
          <w:bCs/>
          <w:sz w:val="20"/>
        </w:rPr>
        <w:t>0</w:t>
      </w:r>
      <w:r w:rsidR="00F429C1">
        <w:rPr>
          <w:rFonts w:ascii="Arial" w:hAnsi="Arial" w:cs="Arial"/>
          <w:b/>
          <w:bCs/>
          <w:sz w:val="20"/>
        </w:rPr>
        <w:t>5</w:t>
      </w:r>
      <w:r w:rsidR="00483A05">
        <w:rPr>
          <w:rFonts w:ascii="Arial" w:hAnsi="Arial" w:cs="Arial"/>
          <w:b/>
          <w:bCs/>
          <w:sz w:val="20"/>
        </w:rPr>
        <w:t>.1</w:t>
      </w:r>
      <w:r w:rsidR="00F429C1">
        <w:rPr>
          <w:rFonts w:ascii="Arial" w:hAnsi="Arial" w:cs="Arial"/>
          <w:b/>
          <w:bCs/>
          <w:sz w:val="20"/>
        </w:rPr>
        <w:t>1</w:t>
      </w:r>
      <w:r w:rsidR="00483A05">
        <w:rPr>
          <w:rFonts w:ascii="Arial" w:hAnsi="Arial" w:cs="Arial"/>
          <w:b/>
          <w:bCs/>
          <w:sz w:val="20"/>
        </w:rPr>
        <w:t>.202</w:t>
      </w:r>
      <w:r w:rsidR="000C22E0">
        <w:rPr>
          <w:rFonts w:ascii="Arial" w:hAnsi="Arial" w:cs="Arial"/>
          <w:b/>
          <w:bCs/>
          <w:sz w:val="20"/>
        </w:rPr>
        <w:t>3</w:t>
      </w:r>
      <w:r w:rsidR="00A11D80" w:rsidRPr="008E2ED4">
        <w:rPr>
          <w:rFonts w:ascii="Arial" w:hAnsi="Arial" w:cs="Arial"/>
          <w:b/>
          <w:bCs/>
          <w:sz w:val="20"/>
        </w:rPr>
        <w:t xml:space="preserve">, </w:t>
      </w:r>
      <w:r w:rsidR="00F429C1">
        <w:rPr>
          <w:rFonts w:ascii="Arial" w:hAnsi="Arial" w:cs="Arial"/>
          <w:b/>
          <w:bCs/>
          <w:sz w:val="20"/>
        </w:rPr>
        <w:t>Cumberland</w:t>
      </w:r>
    </w:p>
    <w:p w14:paraId="73EAFD1B" w14:textId="77777777" w:rsidR="003337A7" w:rsidRDefault="003337A7">
      <w:pPr>
        <w:rPr>
          <w:rFonts w:ascii="Arial" w:hAnsi="Arial" w:cs="Arial"/>
          <w:b/>
          <w:bCs/>
          <w:sz w:val="20"/>
        </w:rPr>
      </w:pPr>
    </w:p>
    <w:p w14:paraId="2F9CAC92" w14:textId="2EB2F27D" w:rsidR="00B62C26" w:rsidRDefault="009C56E9" w:rsidP="004602E5">
      <w:pPr>
        <w:pStyle w:val="Aufzhlungszeichen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  <w:r w:rsidRPr="004602E5">
        <w:rPr>
          <w:rFonts w:ascii="Arial" w:hAnsi="Arial" w:cs="Arial"/>
          <w:b/>
          <w:sz w:val="20"/>
          <w:szCs w:val="20"/>
        </w:rPr>
        <w:t xml:space="preserve">Die Bedingungen:    </w:t>
      </w:r>
      <w:r w:rsidR="00F429C1" w:rsidRPr="00F429C1">
        <w:rPr>
          <w:rFonts w:ascii="Arial" w:hAnsi="Arial" w:cs="Arial"/>
          <w:bCs/>
          <w:sz w:val="20"/>
          <w:szCs w:val="20"/>
        </w:rPr>
        <w:t>Erster Auftritt der WLH</w:t>
      </w:r>
      <w:r w:rsidR="00F429C1">
        <w:rPr>
          <w:rFonts w:ascii="Arial" w:hAnsi="Arial" w:cs="Arial"/>
          <w:bCs/>
          <w:sz w:val="20"/>
          <w:szCs w:val="20"/>
        </w:rPr>
        <w:t xml:space="preserve"> Teams in der Cumberland-Halle und die optimistische Grundeinstellung zur Bahnen-Ölung (aufgrund der heuer bereits absolvierten Bewerbe dort) wurde bestätigt: die insgesamt 36 Spieler erspielten den herzeigbaren Liga-Schnitt von 196,188 Pins. 28 komplette 5er-Serien zeigen, dass man sich allgemein recht wohl fühlte und daher wenig getauscht wurde. </w:t>
      </w:r>
      <w:r w:rsidR="00B62C26">
        <w:rPr>
          <w:rFonts w:ascii="Arial" w:hAnsi="Arial" w:cs="Arial"/>
          <w:bCs/>
          <w:sz w:val="20"/>
          <w:szCs w:val="20"/>
        </w:rPr>
        <w:t>3 Serien lagen bei 1100+ und 10 bei 100</w:t>
      </w:r>
      <w:r w:rsidR="006F4FDA">
        <w:rPr>
          <w:rFonts w:ascii="Arial" w:hAnsi="Arial" w:cs="Arial"/>
          <w:bCs/>
          <w:sz w:val="20"/>
          <w:szCs w:val="20"/>
        </w:rPr>
        <w:t>0</w:t>
      </w:r>
      <w:r w:rsidR="00B62C26">
        <w:rPr>
          <w:rFonts w:ascii="Arial" w:hAnsi="Arial" w:cs="Arial"/>
          <w:bCs/>
          <w:sz w:val="20"/>
          <w:szCs w:val="20"/>
        </w:rPr>
        <w:t xml:space="preserve"> und mehr. </w:t>
      </w:r>
      <w:r w:rsidR="006F4FDA">
        <w:rPr>
          <w:rFonts w:ascii="Arial" w:hAnsi="Arial" w:cs="Arial"/>
          <w:bCs/>
          <w:sz w:val="20"/>
          <w:szCs w:val="20"/>
        </w:rPr>
        <w:t>Details später.</w:t>
      </w:r>
    </w:p>
    <w:p w14:paraId="78A70523" w14:textId="77777777" w:rsidR="006F4FDA" w:rsidRDefault="00F429C1" w:rsidP="004602E5">
      <w:pPr>
        <w:pStyle w:val="Aufzhlungszeichen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Geplant war der Spielbetrieb</w:t>
      </w:r>
      <w:r w:rsidR="00B62C26">
        <w:rPr>
          <w:rFonts w:ascii="Arial" w:hAnsi="Arial" w:cs="Arial"/>
          <w:bCs/>
          <w:sz w:val="20"/>
          <w:szCs w:val="20"/>
        </w:rPr>
        <w:t xml:space="preserve"> -</w:t>
      </w:r>
      <w:r>
        <w:rPr>
          <w:rFonts w:ascii="Arial" w:hAnsi="Arial" w:cs="Arial"/>
          <w:bCs/>
          <w:sz w:val="20"/>
          <w:szCs w:val="20"/>
        </w:rPr>
        <w:t xml:space="preserve"> wie jetzt </w:t>
      </w:r>
      <w:r w:rsidR="00B62C26">
        <w:rPr>
          <w:rFonts w:ascii="Arial" w:hAnsi="Arial" w:cs="Arial"/>
          <w:bCs/>
          <w:sz w:val="20"/>
          <w:szCs w:val="20"/>
        </w:rPr>
        <w:t xml:space="preserve">immer </w:t>
      </w:r>
      <w:r>
        <w:rPr>
          <w:rFonts w:ascii="Arial" w:hAnsi="Arial" w:cs="Arial"/>
          <w:bCs/>
          <w:sz w:val="20"/>
          <w:szCs w:val="20"/>
        </w:rPr>
        <w:t xml:space="preserve">üblich </w:t>
      </w:r>
      <w:r w:rsidR="00B62C26"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 xml:space="preserve">im Bahnen-Bereich 1 </w:t>
      </w:r>
      <w:r w:rsidR="00B62C26">
        <w:rPr>
          <w:rFonts w:ascii="Arial" w:hAnsi="Arial" w:cs="Arial"/>
          <w:bCs/>
          <w:sz w:val="20"/>
          <w:szCs w:val="20"/>
        </w:rPr>
        <w:t>bis</w:t>
      </w:r>
      <w:r>
        <w:rPr>
          <w:rFonts w:ascii="Arial" w:hAnsi="Arial" w:cs="Arial"/>
          <w:bCs/>
          <w:sz w:val="20"/>
          <w:szCs w:val="20"/>
        </w:rPr>
        <w:t xml:space="preserve"> 8 plus 2 Reserve-Bahnen. Ein Problem auf 1-2 (das später aus der Welt geschafft werden konnte) </w:t>
      </w:r>
      <w:r w:rsidR="00A530F3">
        <w:rPr>
          <w:rFonts w:ascii="Arial" w:hAnsi="Arial" w:cs="Arial"/>
          <w:bCs/>
          <w:sz w:val="20"/>
          <w:szCs w:val="20"/>
        </w:rPr>
        <w:t>führte zum Wechsel auf 11-12, der nach erfolgreicher Reparatur sinnvollerweise aber für den gesamten Spieltag beibehalten wurde. Keine weiteren technischen Probleme – Franz Hahn´s Team war wieder bestens vorbereitet und bemüht.</w:t>
      </w:r>
      <w:r w:rsidR="00B62C26">
        <w:rPr>
          <w:rFonts w:ascii="Arial" w:hAnsi="Arial" w:cs="Arial"/>
          <w:bCs/>
          <w:sz w:val="20"/>
          <w:szCs w:val="20"/>
        </w:rPr>
        <w:t xml:space="preserve"> </w:t>
      </w:r>
      <w:r w:rsidR="006F4FDA">
        <w:rPr>
          <w:rFonts w:ascii="Arial" w:hAnsi="Arial" w:cs="Arial"/>
          <w:bCs/>
          <w:sz w:val="20"/>
          <w:szCs w:val="20"/>
        </w:rPr>
        <w:t>Aus meiner Sicht erwähnenswert ist auch die getroffene Vorsichtsmaßnahme, die durch herbstliches Regenwetter nassen Kugel-Roller nicht in den Bahnen-Bereich vorzulassen.</w:t>
      </w:r>
    </w:p>
    <w:p w14:paraId="240733CD" w14:textId="77777777" w:rsidR="006F4FDA" w:rsidRDefault="006F4FDA" w:rsidP="004602E5">
      <w:pPr>
        <w:pStyle w:val="Aufzhlungszeichen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Ging auch so – genug Platz ist durchaus vorhanden. Gute Idee. Gut für die Stimmung. </w:t>
      </w:r>
    </w:p>
    <w:p w14:paraId="286AA7A5" w14:textId="1FCD5A20" w:rsidR="00B62C26" w:rsidRDefault="006F4FDA" w:rsidP="004602E5">
      <w:pPr>
        <w:pStyle w:val="Aufzhlungszeichen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Sollte – wie die Getränkeverwahrung außerhalb des Bahnen-Bereichs - beibehalten werden.</w:t>
      </w:r>
    </w:p>
    <w:p w14:paraId="73A3B42D" w14:textId="63EF5646" w:rsidR="006F4FDA" w:rsidRDefault="00A530F3" w:rsidP="004602E5">
      <w:pPr>
        <w:pStyle w:val="Aufzhlungszeichen"/>
        <w:numPr>
          <w:ilvl w:val="0"/>
          <w:numId w:val="0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Ich stehe auf Seiten </w:t>
      </w:r>
      <w:r w:rsidR="006F4FDA">
        <w:rPr>
          <w:rFonts w:ascii="Arial" w:hAnsi="Arial" w:cs="Arial"/>
          <w:bCs/>
          <w:sz w:val="20"/>
          <w:szCs w:val="20"/>
        </w:rPr>
        <w:t>aller</w:t>
      </w:r>
      <w:r>
        <w:rPr>
          <w:rFonts w:ascii="Arial" w:hAnsi="Arial" w:cs="Arial"/>
          <w:bCs/>
          <w:sz w:val="20"/>
          <w:szCs w:val="20"/>
        </w:rPr>
        <w:t xml:space="preserve"> Hallen-Betreiber, wenn man nicht </w:t>
      </w:r>
      <w:r w:rsidR="00B62C26">
        <w:rPr>
          <w:rFonts w:ascii="Arial" w:hAnsi="Arial" w:cs="Arial"/>
          <w:bCs/>
          <w:sz w:val="20"/>
          <w:szCs w:val="20"/>
        </w:rPr>
        <w:t>weiter einsehen möchte</w:t>
      </w:r>
      <w:r>
        <w:rPr>
          <w:rFonts w:ascii="Arial" w:hAnsi="Arial" w:cs="Arial"/>
          <w:bCs/>
          <w:sz w:val="20"/>
          <w:szCs w:val="20"/>
        </w:rPr>
        <w:t>, warum das Spielgeld gemeldeter</w:t>
      </w:r>
      <w:r w:rsidR="00816A0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aber nicht gespielter Reservespiele rückerstattet wird.</w:t>
      </w:r>
      <w:r w:rsidR="00EE75EF">
        <w:rPr>
          <w:rFonts w:ascii="Arial" w:hAnsi="Arial" w:cs="Arial"/>
          <w:bCs/>
          <w:sz w:val="20"/>
          <w:szCs w:val="20"/>
        </w:rPr>
        <w:t xml:space="preserve"> Immerhin stellt man die Infrastruktur und das Personal zur Verfügung und erleidet </w:t>
      </w:r>
      <w:r w:rsidR="00B62C26">
        <w:rPr>
          <w:rFonts w:ascii="Arial" w:hAnsi="Arial" w:cs="Arial"/>
          <w:bCs/>
          <w:sz w:val="20"/>
          <w:szCs w:val="20"/>
        </w:rPr>
        <w:t>durch „taktische“ Rückzüge</w:t>
      </w:r>
      <w:r w:rsidR="00EE75EF">
        <w:rPr>
          <w:rFonts w:ascii="Arial" w:hAnsi="Arial" w:cs="Arial"/>
          <w:bCs/>
          <w:sz w:val="20"/>
          <w:szCs w:val="20"/>
        </w:rPr>
        <w:t xml:space="preserve"> merkliche Umsatz-Einbußen. </w:t>
      </w:r>
    </w:p>
    <w:p w14:paraId="03E05F38" w14:textId="299FD463" w:rsidR="00F429C1" w:rsidRDefault="00EE75EF" w:rsidP="004602E5">
      <w:pPr>
        <w:pStyle w:val="Aufzhlungszeichen"/>
        <w:numPr>
          <w:ilvl w:val="0"/>
          <w:numId w:val="0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Mein Vorschlag dazu: um Unstimmigkeiten </w:t>
      </w:r>
      <w:r w:rsidR="00B62C26">
        <w:rPr>
          <w:rFonts w:ascii="Arial" w:hAnsi="Arial" w:cs="Arial"/>
          <w:bCs/>
          <w:sz w:val="20"/>
          <w:szCs w:val="20"/>
        </w:rPr>
        <w:t xml:space="preserve">nach Aufgabe </w:t>
      </w:r>
      <w:r>
        <w:rPr>
          <w:rFonts w:ascii="Arial" w:hAnsi="Arial" w:cs="Arial"/>
          <w:bCs/>
          <w:sz w:val="20"/>
          <w:szCs w:val="20"/>
        </w:rPr>
        <w:t xml:space="preserve">durch (u. U. nicht reale) Verletzungen und </w:t>
      </w:r>
      <w:r w:rsidR="00B62C26">
        <w:rPr>
          <w:rFonts w:ascii="Arial" w:hAnsi="Arial" w:cs="Arial"/>
          <w:bCs/>
          <w:sz w:val="20"/>
          <w:szCs w:val="20"/>
        </w:rPr>
        <w:t>solcher wegen</w:t>
      </w:r>
      <w:r>
        <w:rPr>
          <w:rFonts w:ascii="Arial" w:hAnsi="Arial" w:cs="Arial"/>
          <w:bCs/>
          <w:sz w:val="20"/>
          <w:szCs w:val="20"/>
        </w:rPr>
        <w:t xml:space="preserve"> Erfolglosigkeit zu vermeiden, wäre es sinnvoll, zum Prinzip „Nenngeld = Bußgeld“ überzugehen</w:t>
      </w:r>
      <w:r w:rsidR="00B62C26">
        <w:rPr>
          <w:rFonts w:ascii="Arial" w:hAnsi="Arial" w:cs="Arial"/>
          <w:bCs/>
          <w:sz w:val="20"/>
          <w:szCs w:val="20"/>
        </w:rPr>
        <w:t xml:space="preserve"> bzw. zurückzukehren. Wäre vielleicht eine Überlegung wert, damit könnte man auch Diskussionen um „schnittschonendes“ Verhalten (eigentlich Unsportlichkeit - ein ewiges Dauerthema) künftig vermeiden.</w:t>
      </w:r>
    </w:p>
    <w:p w14:paraId="6E204FFF" w14:textId="70EEEB32" w:rsidR="00F26231" w:rsidRDefault="00281B1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</w:t>
      </w:r>
      <w:r w:rsidR="009C56E9">
        <w:rPr>
          <w:rFonts w:ascii="Arial" w:hAnsi="Arial" w:cs="Arial"/>
          <w:b/>
          <w:bCs/>
          <w:sz w:val="20"/>
        </w:rPr>
        <w:t xml:space="preserve">ie </w:t>
      </w:r>
      <w:r w:rsidR="00F26231">
        <w:rPr>
          <w:rFonts w:ascii="Arial" w:hAnsi="Arial" w:cs="Arial"/>
          <w:b/>
          <w:bCs/>
          <w:sz w:val="20"/>
        </w:rPr>
        <w:t>Besten des Spieltages</w:t>
      </w:r>
      <w:r w:rsidR="009C56E9">
        <w:rPr>
          <w:rFonts w:ascii="Arial" w:hAnsi="Arial" w:cs="Arial"/>
          <w:sz w:val="20"/>
        </w:rPr>
        <w:t xml:space="preserve">: </w:t>
      </w:r>
      <w:r w:rsidR="00C71D7E">
        <w:rPr>
          <w:rFonts w:ascii="Arial" w:hAnsi="Arial" w:cs="Arial"/>
          <w:sz w:val="20"/>
        </w:rPr>
        <w:tab/>
      </w:r>
    </w:p>
    <w:p w14:paraId="7FE53207" w14:textId="65D512BB" w:rsidR="00130EB0" w:rsidRDefault="00281B1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130EB0">
        <w:rPr>
          <w:rFonts w:ascii="Arial" w:hAnsi="Arial" w:cs="Arial"/>
          <w:sz w:val="20"/>
        </w:rPr>
        <w:t xml:space="preserve">SV Wr.Netze/Unistahl 1 als einziges </w:t>
      </w:r>
      <w:r w:rsidR="00AB0E5B">
        <w:rPr>
          <w:rFonts w:ascii="Arial" w:hAnsi="Arial" w:cs="Arial"/>
          <w:sz w:val="20"/>
        </w:rPr>
        <w:t xml:space="preserve">Team </w:t>
      </w:r>
      <w:r w:rsidR="00130EB0">
        <w:rPr>
          <w:rFonts w:ascii="Arial" w:hAnsi="Arial" w:cs="Arial"/>
          <w:sz w:val="20"/>
        </w:rPr>
        <w:t xml:space="preserve">ohne Punkteverlust – mit 5 Bonuspunkten aus 4308 Pins (215,4 Schnitt) brachte das satte 30 Punkte. Dahinter Stadlau mit Respektabstand und 26 Punkten (4215), gefolgt von Unistahl 2 mit 19 </w:t>
      </w:r>
      <w:r w:rsidR="00130EB0" w:rsidRPr="00AB0E5B">
        <w:rPr>
          <w:rFonts w:ascii="Arial" w:hAnsi="Arial" w:cs="Arial"/>
          <w:color w:val="000000" w:themeColor="text1"/>
          <w:sz w:val="20"/>
        </w:rPr>
        <w:t>(3894).</w:t>
      </w:r>
      <w:r w:rsidR="00AB0E5B" w:rsidRPr="00AB0E5B">
        <w:rPr>
          <w:rFonts w:ascii="Arial" w:hAnsi="Arial" w:cs="Arial"/>
          <w:color w:val="000000" w:themeColor="text1"/>
          <w:sz w:val="20"/>
        </w:rPr>
        <w:t xml:space="preserve"> Knapp dahinter BJB mit 18 Punkte</w:t>
      </w:r>
      <w:r w:rsidR="00E079D9">
        <w:rPr>
          <w:rFonts w:ascii="Arial" w:hAnsi="Arial" w:cs="Arial"/>
          <w:color w:val="000000" w:themeColor="text1"/>
          <w:sz w:val="20"/>
        </w:rPr>
        <w:t>n</w:t>
      </w:r>
      <w:r w:rsidR="00AB0E5B" w:rsidRPr="00AB0E5B">
        <w:rPr>
          <w:rFonts w:ascii="Arial" w:hAnsi="Arial" w:cs="Arial"/>
          <w:color w:val="000000" w:themeColor="text1"/>
          <w:sz w:val="20"/>
        </w:rPr>
        <w:t xml:space="preserve"> aus 3990 Pins. </w:t>
      </w:r>
      <w:r w:rsidR="00130EB0" w:rsidRPr="00AB0E5B">
        <w:rPr>
          <w:rFonts w:ascii="Arial" w:hAnsi="Arial" w:cs="Arial"/>
          <w:color w:val="000000" w:themeColor="text1"/>
          <w:sz w:val="20"/>
        </w:rPr>
        <w:t xml:space="preserve">Gleich </w:t>
      </w:r>
      <w:r w:rsidR="00AB0E5B" w:rsidRPr="00AB0E5B">
        <w:rPr>
          <w:rFonts w:ascii="Arial" w:hAnsi="Arial" w:cs="Arial"/>
          <w:color w:val="000000" w:themeColor="text1"/>
          <w:sz w:val="20"/>
        </w:rPr>
        <w:t>drei</w:t>
      </w:r>
      <w:r w:rsidR="00130EB0" w:rsidRPr="00AB0E5B">
        <w:rPr>
          <w:rFonts w:ascii="Arial" w:hAnsi="Arial" w:cs="Arial"/>
          <w:color w:val="000000" w:themeColor="text1"/>
          <w:sz w:val="20"/>
        </w:rPr>
        <w:t xml:space="preserve"> Teams schafften 16 Punkte: Tyrolia (3900), </w:t>
      </w:r>
      <w:r w:rsidR="00130EB0">
        <w:rPr>
          <w:rFonts w:ascii="Arial" w:hAnsi="Arial" w:cs="Arial"/>
          <w:sz w:val="20"/>
        </w:rPr>
        <w:t>Future/BTA (3890) und Etoile (3654). Heute am Schluss: BSC Phönix mit 13 Punkten aus 3859 Pins.</w:t>
      </w:r>
    </w:p>
    <w:p w14:paraId="43DA2F3D" w14:textId="183DBF20" w:rsidR="00C150AF" w:rsidRDefault="00F26231">
      <w:pPr>
        <w:rPr>
          <w:rFonts w:ascii="Arial" w:hAnsi="Arial" w:cs="Arial"/>
          <w:sz w:val="20"/>
        </w:rPr>
      </w:pPr>
      <w:r w:rsidRPr="00C150AF">
        <w:rPr>
          <w:rFonts w:ascii="Arial" w:hAnsi="Arial" w:cs="Arial"/>
          <w:sz w:val="20"/>
          <w:szCs w:val="20"/>
        </w:rPr>
        <w:t>BESTE EINZELSPIELER:</w:t>
      </w:r>
      <w:r w:rsidR="00130EB0" w:rsidRPr="00C150AF">
        <w:rPr>
          <w:rFonts w:ascii="Arial" w:hAnsi="Arial" w:cs="Arial"/>
          <w:sz w:val="20"/>
          <w:szCs w:val="20"/>
        </w:rPr>
        <w:tab/>
        <w:t xml:space="preserve">Thomas Gross (Unistahl1) 1135 (247/5. Spiel), </w:t>
      </w:r>
      <w:r w:rsidR="00CF3F94" w:rsidRPr="00C150AF">
        <w:rPr>
          <w:rFonts w:ascii="Arial" w:hAnsi="Arial" w:cs="Arial"/>
          <w:sz w:val="20"/>
          <w:szCs w:val="20"/>
        </w:rPr>
        <w:tab/>
      </w:r>
      <w:r w:rsidR="00130EB0" w:rsidRPr="00C150AF">
        <w:rPr>
          <w:rFonts w:ascii="Arial" w:hAnsi="Arial" w:cs="Arial"/>
          <w:sz w:val="20"/>
          <w:szCs w:val="20"/>
        </w:rPr>
        <w:t xml:space="preserve">Robert Fürst (Future/BTA) 1131 (256/1.,248/5.), Dusan Kometter (BJB) 1109 (256/3.,234/2.) </w:t>
      </w:r>
      <w:r w:rsidR="00C150AF" w:rsidRPr="00C150AF">
        <w:rPr>
          <w:rFonts w:ascii="Arial" w:hAnsi="Arial" w:cs="Arial"/>
          <w:sz w:val="20"/>
          <w:szCs w:val="20"/>
        </w:rPr>
        <w:t>am besten. 10 Mann mit 1000+: Roman Fürbacher (Unistahl1) 1093 (247/3.,240/1.), Alex Pittesser (Stadlau) 1090 (268/2.,241/5.), Wolfgang Hauska (BJB) 1088 (268/1.,257/4.), Andreas Pfeifer (Tyrolia) 1063 (Tageshöchstspie</w:t>
      </w:r>
      <w:r w:rsidR="00C150AF">
        <w:rPr>
          <w:rFonts w:ascii="Arial" w:hAnsi="Arial" w:cs="Arial"/>
          <w:sz w:val="20"/>
          <w:szCs w:val="20"/>
        </w:rPr>
        <w:t>l</w:t>
      </w:r>
      <w:r w:rsidR="00C150AF" w:rsidRPr="00C150AF">
        <w:rPr>
          <w:rFonts w:ascii="Arial" w:hAnsi="Arial" w:cs="Arial"/>
          <w:sz w:val="20"/>
          <w:szCs w:val="20"/>
        </w:rPr>
        <w:t xml:space="preserve"> 277/5.), Ben Calhoun (Stadlau) 1057 (247/3.), Marco Pilecky (Unistahl1) 1056 (252/3.), Martin Liftenegger (Unistahl2) 1044 (232/1.,231/2.), Andreas Leb (Unistahl1) 1024, Michael Rauscher (Stadlau) 1022 (246/4.) </w:t>
      </w:r>
      <w:r w:rsidR="00C150AF">
        <w:rPr>
          <w:rFonts w:ascii="Arial" w:hAnsi="Arial" w:cs="Arial"/>
          <w:sz w:val="20"/>
          <w:szCs w:val="20"/>
        </w:rPr>
        <w:t>und Gerald Simané (Phönix) 1003.</w:t>
      </w:r>
    </w:p>
    <w:p w14:paraId="081F9957" w14:textId="1D424218" w:rsidR="00DA5C60" w:rsidRDefault="00DA5C6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BESTE TEAM-ERGEBNIS</w:t>
      </w:r>
      <w:r w:rsidR="00C150AF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: </w:t>
      </w:r>
      <w:r w:rsidR="00815E72">
        <w:rPr>
          <w:rFonts w:ascii="Arial" w:hAnsi="Arial" w:cs="Arial"/>
          <w:sz w:val="20"/>
        </w:rPr>
        <w:t xml:space="preserve">3 Bonuspunkte für </w:t>
      </w:r>
      <w:r w:rsidR="00FF00B5">
        <w:rPr>
          <w:rFonts w:ascii="Arial" w:hAnsi="Arial" w:cs="Arial"/>
          <w:sz w:val="20"/>
        </w:rPr>
        <w:t xml:space="preserve">Stadlau mit 921/2. und </w:t>
      </w:r>
      <w:r>
        <w:rPr>
          <w:rFonts w:ascii="Arial" w:hAnsi="Arial" w:cs="Arial"/>
          <w:sz w:val="20"/>
        </w:rPr>
        <w:t>KSV</w:t>
      </w:r>
      <w:r w:rsidR="001F604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Wr.Netze/Unistahl </w:t>
      </w:r>
      <w:r w:rsidR="00FF00B5">
        <w:rPr>
          <w:rFonts w:ascii="Arial" w:hAnsi="Arial" w:cs="Arial"/>
          <w:sz w:val="20"/>
        </w:rPr>
        <w:t>1</w:t>
      </w:r>
      <w:r w:rsidR="00815E72">
        <w:rPr>
          <w:rFonts w:ascii="Arial" w:hAnsi="Arial" w:cs="Arial"/>
          <w:sz w:val="20"/>
        </w:rPr>
        <w:t xml:space="preserve"> mit 9</w:t>
      </w:r>
      <w:r w:rsidR="00FF00B5">
        <w:rPr>
          <w:rFonts w:ascii="Arial" w:hAnsi="Arial" w:cs="Arial"/>
          <w:sz w:val="20"/>
        </w:rPr>
        <w:t>19/3. J</w:t>
      </w:r>
      <w:r w:rsidR="00815E72">
        <w:rPr>
          <w:rFonts w:ascii="Arial" w:hAnsi="Arial" w:cs="Arial"/>
          <w:sz w:val="20"/>
        </w:rPr>
        <w:t xml:space="preserve">e 2 Bonuspunkte für </w:t>
      </w:r>
      <w:r w:rsidR="00FF00B5">
        <w:rPr>
          <w:rFonts w:ascii="Arial" w:hAnsi="Arial" w:cs="Arial"/>
          <w:sz w:val="20"/>
        </w:rPr>
        <w:t xml:space="preserve">BJB mit 887/3. und </w:t>
      </w:r>
      <w:r w:rsidR="00815E72">
        <w:rPr>
          <w:rFonts w:ascii="Arial" w:hAnsi="Arial" w:cs="Arial"/>
          <w:sz w:val="20"/>
        </w:rPr>
        <w:t xml:space="preserve">Unistahl 1 mit </w:t>
      </w:r>
      <w:r w:rsidR="00FF00B5">
        <w:rPr>
          <w:rFonts w:ascii="Arial" w:hAnsi="Arial" w:cs="Arial"/>
          <w:sz w:val="20"/>
        </w:rPr>
        <w:t>883</w:t>
      </w:r>
      <w:r w:rsidR="00815E72">
        <w:rPr>
          <w:rFonts w:ascii="Arial" w:hAnsi="Arial" w:cs="Arial"/>
          <w:sz w:val="20"/>
        </w:rPr>
        <w:t xml:space="preserve">/2. </w:t>
      </w:r>
      <w:r w:rsidR="00FF00B5">
        <w:rPr>
          <w:rFonts w:ascii="Arial" w:hAnsi="Arial" w:cs="Arial"/>
          <w:sz w:val="20"/>
        </w:rPr>
        <w:t>Viermal 1 Bonuspunkt für folgende Spiele: Unistahl1 (jeweils 867/1. und 2.), Stadlau (8667/5.) und Unistahl 2 (840/1.).</w:t>
      </w:r>
    </w:p>
    <w:p w14:paraId="3F4A5887" w14:textId="77777777" w:rsidR="00CF3F94" w:rsidRDefault="00F2623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118"/>
        <w:gridCol w:w="851"/>
        <w:gridCol w:w="1276"/>
      </w:tblGrid>
      <w:tr w:rsidR="008866A1" w:rsidRPr="00A87D27" w14:paraId="32301E94" w14:textId="77777777" w:rsidTr="001F6040">
        <w:tc>
          <w:tcPr>
            <w:tcW w:w="3746" w:type="dxa"/>
            <w:gridSpan w:val="2"/>
          </w:tcPr>
          <w:p w14:paraId="2232F62E" w14:textId="03AE50A0" w:rsidR="008866A1" w:rsidRDefault="008866A1" w:rsidP="008866A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Tabelle nach dem </w:t>
            </w:r>
            <w:r w:rsidR="00FF00B5">
              <w:rPr>
                <w:rFonts w:ascii="Arial" w:hAnsi="Arial" w:cs="Arial"/>
                <w:b/>
                <w:bCs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</w:rPr>
              <w:t>. Spieltag:</w:t>
            </w:r>
          </w:p>
        </w:tc>
        <w:tc>
          <w:tcPr>
            <w:tcW w:w="851" w:type="dxa"/>
          </w:tcPr>
          <w:p w14:paraId="181B12F6" w14:textId="77777777" w:rsidR="008866A1" w:rsidRDefault="008866A1" w:rsidP="00A87D27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Punkte</w:t>
            </w:r>
          </w:p>
        </w:tc>
        <w:tc>
          <w:tcPr>
            <w:tcW w:w="1276" w:type="dxa"/>
          </w:tcPr>
          <w:p w14:paraId="61B32F72" w14:textId="77777777" w:rsidR="008866A1" w:rsidRDefault="008866A1" w:rsidP="00A87D27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Pins</w:t>
            </w:r>
          </w:p>
        </w:tc>
      </w:tr>
      <w:tr w:rsidR="00DA03C2" w:rsidRPr="00A87D27" w14:paraId="7D52142C" w14:textId="77777777" w:rsidTr="001F6040">
        <w:tc>
          <w:tcPr>
            <w:tcW w:w="628" w:type="dxa"/>
          </w:tcPr>
          <w:p w14:paraId="3A538512" w14:textId="690EAD93" w:rsidR="00DA03C2" w:rsidRPr="00A87D27" w:rsidRDefault="001F6040">
            <w:pPr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1.(</w:t>
            </w:r>
            <w:r w:rsidR="00DA03C2">
              <w:rPr>
                <w:rFonts w:ascii="Arial" w:hAnsi="Arial" w:cs="Arial"/>
                <w:sz w:val="20"/>
                <w:lang w:val="fr-FR"/>
              </w:rPr>
              <w:t>2</w:t>
            </w:r>
            <w:r>
              <w:rPr>
                <w:rFonts w:ascii="Arial" w:hAnsi="Arial" w:cs="Arial"/>
                <w:sz w:val="20"/>
                <w:lang w:val="fr-FR"/>
              </w:rPr>
              <w:t>)</w:t>
            </w:r>
          </w:p>
        </w:tc>
        <w:tc>
          <w:tcPr>
            <w:tcW w:w="3118" w:type="dxa"/>
          </w:tcPr>
          <w:p w14:paraId="3124E852" w14:textId="2A3AB22D" w:rsidR="00DA03C2" w:rsidRPr="00815E72" w:rsidRDefault="00DA5C60">
            <w:pPr>
              <w:rPr>
                <w:rFonts w:ascii="Arial" w:hAnsi="Arial" w:cs="Arial"/>
                <w:sz w:val="20"/>
              </w:rPr>
            </w:pPr>
            <w:r w:rsidRPr="00815E72">
              <w:rPr>
                <w:rFonts w:ascii="Arial" w:hAnsi="Arial" w:cs="Arial"/>
                <w:sz w:val="20"/>
                <w:lang w:val="en-GB"/>
              </w:rPr>
              <w:t>KSV Wr.Netze/Unistahl 1</w:t>
            </w:r>
          </w:p>
        </w:tc>
        <w:tc>
          <w:tcPr>
            <w:tcW w:w="851" w:type="dxa"/>
          </w:tcPr>
          <w:p w14:paraId="6FF15107" w14:textId="3F5C5654" w:rsidR="00DA03C2" w:rsidRDefault="00FF00B5" w:rsidP="00A87D27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53</w:t>
            </w:r>
          </w:p>
        </w:tc>
        <w:tc>
          <w:tcPr>
            <w:tcW w:w="1276" w:type="dxa"/>
          </w:tcPr>
          <w:p w14:paraId="17BE5F13" w14:textId="7989C99A" w:rsidR="00DA03C2" w:rsidRDefault="00FF00B5" w:rsidP="00A87D27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8425</w:t>
            </w:r>
          </w:p>
        </w:tc>
      </w:tr>
      <w:tr w:rsidR="00301DE2" w:rsidRPr="00A87D27" w14:paraId="5AB6C84C" w14:textId="77777777" w:rsidTr="001F6040">
        <w:tc>
          <w:tcPr>
            <w:tcW w:w="628" w:type="dxa"/>
          </w:tcPr>
          <w:p w14:paraId="50DCC5A2" w14:textId="05C8E444" w:rsidR="00301DE2" w:rsidRPr="00A87D27" w:rsidRDefault="001F604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  <w:lang w:val="fr-FR"/>
              </w:rPr>
              <w:t>2.(</w:t>
            </w:r>
            <w:r w:rsidR="00DA03C2">
              <w:rPr>
                <w:rFonts w:ascii="Arial" w:hAnsi="Arial" w:cs="Arial"/>
                <w:sz w:val="20"/>
                <w:lang w:val="fr-FR"/>
              </w:rPr>
              <w:t>3</w:t>
            </w:r>
            <w:r>
              <w:rPr>
                <w:rFonts w:ascii="Arial" w:hAnsi="Arial" w:cs="Arial"/>
                <w:sz w:val="20"/>
                <w:lang w:val="fr-FR"/>
              </w:rPr>
              <w:t>)</w:t>
            </w:r>
          </w:p>
        </w:tc>
        <w:tc>
          <w:tcPr>
            <w:tcW w:w="3118" w:type="dxa"/>
          </w:tcPr>
          <w:p w14:paraId="4096B630" w14:textId="2D2C9F76" w:rsidR="00301DE2" w:rsidRPr="00815E72" w:rsidRDefault="00815E72">
            <w:pPr>
              <w:rPr>
                <w:rFonts w:ascii="Arial" w:hAnsi="Arial" w:cs="Arial"/>
                <w:sz w:val="20"/>
              </w:rPr>
            </w:pPr>
            <w:r w:rsidRPr="00815E72">
              <w:rPr>
                <w:rFonts w:ascii="Arial" w:hAnsi="Arial" w:cs="Arial"/>
                <w:sz w:val="20"/>
                <w:lang w:val="en-GB"/>
              </w:rPr>
              <w:t>Stadlau 1</w:t>
            </w:r>
          </w:p>
        </w:tc>
        <w:tc>
          <w:tcPr>
            <w:tcW w:w="851" w:type="dxa"/>
          </w:tcPr>
          <w:p w14:paraId="70D81D36" w14:textId="444F5A33" w:rsidR="00301DE2" w:rsidRPr="00A87D27" w:rsidRDefault="00FF00B5" w:rsidP="00A87D2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  <w:lang w:val="fr-FR"/>
              </w:rPr>
              <w:t>48</w:t>
            </w:r>
          </w:p>
        </w:tc>
        <w:tc>
          <w:tcPr>
            <w:tcW w:w="1276" w:type="dxa"/>
          </w:tcPr>
          <w:p w14:paraId="2DE58F4A" w14:textId="6864BA1A" w:rsidR="00301DE2" w:rsidRDefault="00FF00B5" w:rsidP="00A87D27">
            <w:pPr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7978</w:t>
            </w:r>
          </w:p>
        </w:tc>
      </w:tr>
      <w:tr w:rsidR="001F6040" w:rsidRPr="001F6040" w14:paraId="1683A065" w14:textId="77777777" w:rsidTr="001F6040">
        <w:tc>
          <w:tcPr>
            <w:tcW w:w="628" w:type="dxa"/>
          </w:tcPr>
          <w:p w14:paraId="11BAF685" w14:textId="24ED54CB" w:rsidR="001F6040" w:rsidRPr="001F6040" w:rsidRDefault="001F6040" w:rsidP="001F6040">
            <w:pPr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3.(1)</w:t>
            </w:r>
          </w:p>
        </w:tc>
        <w:tc>
          <w:tcPr>
            <w:tcW w:w="3118" w:type="dxa"/>
          </w:tcPr>
          <w:p w14:paraId="4C9010BA" w14:textId="3FDAAE29" w:rsidR="001F6040" w:rsidRPr="001F6040" w:rsidRDefault="001F6040" w:rsidP="001F60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 xml:space="preserve">KSV Wr.Netze/Unistahl 2 </w:t>
            </w:r>
          </w:p>
        </w:tc>
        <w:tc>
          <w:tcPr>
            <w:tcW w:w="851" w:type="dxa"/>
          </w:tcPr>
          <w:p w14:paraId="4DDE8331" w14:textId="4358407F" w:rsidR="001F6040" w:rsidRPr="001F6040" w:rsidRDefault="001F6040" w:rsidP="001F6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14:paraId="6C5BBD8C" w14:textId="2BAF2DAB" w:rsidR="001F6040" w:rsidRPr="001F6040" w:rsidRDefault="001F6040" w:rsidP="001F6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8020</w:t>
            </w:r>
          </w:p>
        </w:tc>
      </w:tr>
      <w:tr w:rsidR="001F6040" w:rsidRPr="001F6040" w14:paraId="1EFF411A" w14:textId="77777777" w:rsidTr="001F6040">
        <w:tc>
          <w:tcPr>
            <w:tcW w:w="628" w:type="dxa"/>
          </w:tcPr>
          <w:p w14:paraId="4FBC5998" w14:textId="051E6744" w:rsidR="001F6040" w:rsidRPr="001F6040" w:rsidRDefault="001F6040" w:rsidP="001F6040">
            <w:pPr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4.(6)</w:t>
            </w:r>
          </w:p>
        </w:tc>
        <w:tc>
          <w:tcPr>
            <w:tcW w:w="3118" w:type="dxa"/>
          </w:tcPr>
          <w:p w14:paraId="07C5FBAE" w14:textId="7A6C5279" w:rsidR="001F6040" w:rsidRPr="001F6040" w:rsidRDefault="001F6040" w:rsidP="001F60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 xml:space="preserve">Tyrolia 1     </w:t>
            </w:r>
          </w:p>
        </w:tc>
        <w:tc>
          <w:tcPr>
            <w:tcW w:w="851" w:type="dxa"/>
          </w:tcPr>
          <w:p w14:paraId="5155056C" w14:textId="28A4E3B2" w:rsidR="001F6040" w:rsidRPr="001F6040" w:rsidRDefault="001F6040" w:rsidP="001F6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14:paraId="45BDD773" w14:textId="58BFE154" w:rsidR="001F6040" w:rsidRPr="001F6040" w:rsidRDefault="001F6040" w:rsidP="001F6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7643</w:t>
            </w:r>
          </w:p>
        </w:tc>
      </w:tr>
      <w:tr w:rsidR="001F6040" w:rsidRPr="001F6040" w14:paraId="15ECD925" w14:textId="77777777" w:rsidTr="001F6040">
        <w:tc>
          <w:tcPr>
            <w:tcW w:w="628" w:type="dxa"/>
          </w:tcPr>
          <w:p w14:paraId="18B39F61" w14:textId="55641ABB" w:rsidR="001F6040" w:rsidRPr="001F6040" w:rsidRDefault="001F6040" w:rsidP="001F6040">
            <w:pPr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5.(5)</w:t>
            </w:r>
          </w:p>
        </w:tc>
        <w:tc>
          <w:tcPr>
            <w:tcW w:w="3118" w:type="dxa"/>
          </w:tcPr>
          <w:p w14:paraId="3DF619F0" w14:textId="7C626C98" w:rsidR="001F6040" w:rsidRPr="001F6040" w:rsidRDefault="001F6040" w:rsidP="001F60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 xml:space="preserve">Etoile 1  </w:t>
            </w:r>
          </w:p>
        </w:tc>
        <w:tc>
          <w:tcPr>
            <w:tcW w:w="851" w:type="dxa"/>
          </w:tcPr>
          <w:p w14:paraId="254DF3E4" w14:textId="66ECFC4D" w:rsidR="001F6040" w:rsidRPr="001F6040" w:rsidRDefault="001F6040" w:rsidP="001F6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76" w:type="dxa"/>
          </w:tcPr>
          <w:p w14:paraId="3A92344A" w14:textId="2C980432" w:rsidR="001F6040" w:rsidRPr="001F6040" w:rsidRDefault="001F6040" w:rsidP="001F60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6040">
              <w:rPr>
                <w:rFonts w:ascii="Arial" w:hAnsi="Arial" w:cs="Arial"/>
                <w:sz w:val="20"/>
                <w:szCs w:val="20"/>
              </w:rPr>
              <w:t>7404</w:t>
            </w:r>
          </w:p>
        </w:tc>
      </w:tr>
      <w:tr w:rsidR="00AB0E5B" w:rsidRPr="00A87D27" w14:paraId="70734482" w14:textId="77777777" w:rsidTr="001F6040">
        <w:tc>
          <w:tcPr>
            <w:tcW w:w="628" w:type="dxa"/>
          </w:tcPr>
          <w:p w14:paraId="7DD19593" w14:textId="096A9256" w:rsidR="00AB0E5B" w:rsidRDefault="00AB0E5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6.(7)</w:t>
            </w:r>
          </w:p>
        </w:tc>
        <w:tc>
          <w:tcPr>
            <w:tcW w:w="3118" w:type="dxa"/>
          </w:tcPr>
          <w:p w14:paraId="6C64296D" w14:textId="6505074D" w:rsidR="00AB0E5B" w:rsidRPr="00815E72" w:rsidRDefault="00AB0E5B" w:rsidP="008866A1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BJB</w:t>
            </w:r>
          </w:p>
        </w:tc>
        <w:tc>
          <w:tcPr>
            <w:tcW w:w="851" w:type="dxa"/>
          </w:tcPr>
          <w:p w14:paraId="599632B5" w14:textId="55248D36" w:rsidR="00AB0E5B" w:rsidRDefault="00AB0E5B" w:rsidP="00DA03C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276" w:type="dxa"/>
          </w:tcPr>
          <w:p w14:paraId="72242A2F" w14:textId="3F4161CD" w:rsidR="00AB0E5B" w:rsidRDefault="00AB0E5B" w:rsidP="008F33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7575</w:t>
            </w:r>
          </w:p>
        </w:tc>
      </w:tr>
      <w:tr w:rsidR="00301DE2" w:rsidRPr="00A87D27" w14:paraId="6678BB42" w14:textId="77777777" w:rsidTr="001F6040">
        <w:tc>
          <w:tcPr>
            <w:tcW w:w="628" w:type="dxa"/>
          </w:tcPr>
          <w:p w14:paraId="312EF137" w14:textId="41682C44" w:rsidR="00301DE2" w:rsidRPr="00A87D27" w:rsidRDefault="00AB0E5B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1F6040">
              <w:rPr>
                <w:rFonts w:ascii="Arial" w:hAnsi="Arial" w:cs="Arial"/>
                <w:sz w:val="20"/>
              </w:rPr>
              <w:t>.(</w:t>
            </w:r>
            <w:r w:rsidR="00DA03C2">
              <w:rPr>
                <w:rFonts w:ascii="Arial" w:hAnsi="Arial" w:cs="Arial"/>
                <w:sz w:val="20"/>
              </w:rPr>
              <w:t>4</w:t>
            </w:r>
            <w:r w:rsidR="001F604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118" w:type="dxa"/>
          </w:tcPr>
          <w:p w14:paraId="70E88A24" w14:textId="37C8685B" w:rsidR="00301DE2" w:rsidRPr="00815E72" w:rsidRDefault="00815E72" w:rsidP="008866A1">
            <w:pPr>
              <w:rPr>
                <w:rFonts w:ascii="Arial" w:hAnsi="Arial" w:cs="Arial"/>
                <w:sz w:val="20"/>
                <w:lang w:val="en-GB"/>
              </w:rPr>
            </w:pPr>
            <w:r w:rsidRPr="00815E72">
              <w:rPr>
                <w:rFonts w:ascii="Arial" w:hAnsi="Arial" w:cs="Arial"/>
                <w:sz w:val="20"/>
                <w:lang w:val="en-GB"/>
              </w:rPr>
              <w:t>BSC Phönix 1</w:t>
            </w:r>
          </w:p>
        </w:tc>
        <w:tc>
          <w:tcPr>
            <w:tcW w:w="851" w:type="dxa"/>
          </w:tcPr>
          <w:p w14:paraId="24088C01" w14:textId="41E2FAE3" w:rsidR="00301DE2" w:rsidRPr="00A87D27" w:rsidRDefault="00FF00B5" w:rsidP="00DA03C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276" w:type="dxa"/>
          </w:tcPr>
          <w:p w14:paraId="76EFBED4" w14:textId="50197F3B" w:rsidR="00301DE2" w:rsidRDefault="00FF00B5" w:rsidP="008F33D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7660</w:t>
            </w:r>
          </w:p>
        </w:tc>
      </w:tr>
      <w:tr w:rsidR="00301DE2" w:rsidRPr="00A87D27" w14:paraId="214B4ECF" w14:textId="77777777" w:rsidTr="001F6040">
        <w:tc>
          <w:tcPr>
            <w:tcW w:w="628" w:type="dxa"/>
          </w:tcPr>
          <w:p w14:paraId="62527B64" w14:textId="0B34AAAC" w:rsidR="00301DE2" w:rsidRDefault="00DA03C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301DE2">
              <w:rPr>
                <w:rFonts w:ascii="Arial" w:hAnsi="Arial" w:cs="Arial"/>
                <w:sz w:val="20"/>
              </w:rPr>
              <w:t>.</w:t>
            </w:r>
            <w:r w:rsidR="001F6040">
              <w:rPr>
                <w:rFonts w:ascii="Arial" w:hAnsi="Arial" w:cs="Arial"/>
                <w:sz w:val="20"/>
              </w:rPr>
              <w:t>(8)</w:t>
            </w:r>
          </w:p>
        </w:tc>
        <w:tc>
          <w:tcPr>
            <w:tcW w:w="3118" w:type="dxa"/>
          </w:tcPr>
          <w:p w14:paraId="11549D4C" w14:textId="344EE692" w:rsidR="00301DE2" w:rsidRPr="00815E72" w:rsidRDefault="00815E72" w:rsidP="008F33D0">
            <w:pPr>
              <w:rPr>
                <w:rFonts w:ascii="Arial" w:hAnsi="Arial" w:cs="Arial"/>
                <w:sz w:val="20"/>
              </w:rPr>
            </w:pPr>
            <w:r w:rsidRPr="00815E72">
              <w:rPr>
                <w:rFonts w:ascii="Arial" w:hAnsi="Arial" w:cs="Arial"/>
                <w:sz w:val="20"/>
                <w:lang w:val="en-GB"/>
              </w:rPr>
              <w:t>Future/BTA 1</w:t>
            </w:r>
          </w:p>
        </w:tc>
        <w:tc>
          <w:tcPr>
            <w:tcW w:w="851" w:type="dxa"/>
          </w:tcPr>
          <w:p w14:paraId="76232AA6" w14:textId="67398697" w:rsidR="00301DE2" w:rsidRDefault="001F6040" w:rsidP="00DA03C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276" w:type="dxa"/>
          </w:tcPr>
          <w:p w14:paraId="3E280B6E" w14:textId="3A9F9BEC" w:rsidR="00301DE2" w:rsidRDefault="001F6040" w:rsidP="00DA03C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7236</w:t>
            </w:r>
          </w:p>
        </w:tc>
      </w:tr>
    </w:tbl>
    <w:p w14:paraId="611B187D" w14:textId="77777777" w:rsidR="003337A7" w:rsidRDefault="003337A7">
      <w:pPr>
        <w:rPr>
          <w:rFonts w:ascii="Arial" w:hAnsi="Arial" w:cs="Arial"/>
          <w:b/>
          <w:bCs/>
          <w:sz w:val="20"/>
        </w:rPr>
      </w:pPr>
    </w:p>
    <w:p w14:paraId="5003FB62" w14:textId="4531A98C" w:rsidR="00F15195" w:rsidRDefault="005566B2" w:rsidP="00815E72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Zusammenfassung</w:t>
      </w:r>
      <w:r w:rsidR="009C56E9" w:rsidRPr="00C213D6">
        <w:rPr>
          <w:rFonts w:ascii="Arial" w:hAnsi="Arial" w:cs="Arial"/>
          <w:b/>
          <w:bCs/>
          <w:sz w:val="20"/>
        </w:rPr>
        <w:t xml:space="preserve">:      </w:t>
      </w:r>
      <w:r w:rsidR="00382ED5">
        <w:rPr>
          <w:rFonts w:ascii="Arial" w:hAnsi="Arial" w:cs="Arial"/>
          <w:bCs/>
          <w:sz w:val="20"/>
        </w:rPr>
        <w:t xml:space="preserve"> </w:t>
      </w:r>
      <w:r w:rsidR="001F6040">
        <w:rPr>
          <w:rFonts w:ascii="Arial" w:hAnsi="Arial" w:cs="Arial"/>
          <w:bCs/>
          <w:sz w:val="20"/>
        </w:rPr>
        <w:t>Drei Spitzenteams haben sich abgesetzt. Dahinter mehr oder weniger ein Kopf an Kopf-Rennen der restlichen fünf. Es bleibt spannend.</w:t>
      </w:r>
      <w:r w:rsidR="00815E72">
        <w:rPr>
          <w:rFonts w:ascii="Arial" w:hAnsi="Arial" w:cs="Arial"/>
          <w:bCs/>
          <w:sz w:val="20"/>
        </w:rPr>
        <w:t xml:space="preserve"> </w:t>
      </w:r>
      <w:r w:rsidR="001F6040">
        <w:rPr>
          <w:rFonts w:ascii="Arial" w:hAnsi="Arial" w:cs="Arial"/>
          <w:bCs/>
          <w:sz w:val="20"/>
        </w:rPr>
        <w:t>So wollen wir alle es haben – oder doch nicht?</w:t>
      </w:r>
    </w:p>
    <w:p w14:paraId="43CFB78B" w14:textId="77777777" w:rsidR="009C56E9" w:rsidRDefault="009C56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Bis bald</w:t>
      </w:r>
    </w:p>
    <w:p w14:paraId="12C11A47" w14:textId="77777777" w:rsidR="009C56E9" w:rsidRDefault="009C56E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Walter</w:t>
      </w:r>
    </w:p>
    <w:p w14:paraId="1519D3E9" w14:textId="77777777" w:rsidR="004D7ADB" w:rsidRDefault="004D7ADB" w:rsidP="004D7ADB">
      <w:pPr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ab/>
      </w:r>
      <w:r>
        <w:rPr>
          <w:rFonts w:ascii="Arial" w:hAnsi="Arial" w:cs="Arial"/>
          <w:sz w:val="20"/>
          <w:lang w:val="fr-FR"/>
        </w:rPr>
        <w:tab/>
      </w:r>
    </w:p>
    <w:p w14:paraId="1AE35B60" w14:textId="77777777" w:rsidR="004D7ADB" w:rsidRPr="000075FF" w:rsidRDefault="004D7ADB" w:rsidP="004D7ADB">
      <w:pPr>
        <w:rPr>
          <w:rFonts w:ascii="Arial" w:hAnsi="Arial" w:cs="Arial"/>
          <w:sz w:val="20"/>
        </w:rPr>
      </w:pPr>
      <w:r w:rsidRPr="000075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F354187" w14:textId="77777777" w:rsidR="004D7ADB" w:rsidRPr="000075FF" w:rsidRDefault="004D7ADB" w:rsidP="004D7ADB">
      <w:pPr>
        <w:rPr>
          <w:rFonts w:ascii="Arial" w:hAnsi="Arial" w:cs="Arial"/>
          <w:sz w:val="20"/>
          <w:lang w:val="en-GB"/>
        </w:rPr>
      </w:pPr>
      <w:r w:rsidRPr="000075FF">
        <w:rPr>
          <w:rFonts w:ascii="Arial" w:hAnsi="Arial" w:cs="Arial"/>
          <w:sz w:val="20"/>
          <w:lang w:val="en-GB"/>
        </w:rPr>
        <w:tab/>
        <w:t xml:space="preserve">  </w:t>
      </w:r>
      <w:r w:rsidRPr="000075FF">
        <w:rPr>
          <w:rFonts w:ascii="Arial" w:hAnsi="Arial" w:cs="Arial"/>
          <w:sz w:val="20"/>
          <w:lang w:val="en-GB"/>
        </w:rPr>
        <w:tab/>
      </w:r>
      <w:r w:rsidRPr="000075FF">
        <w:rPr>
          <w:rFonts w:ascii="Arial" w:hAnsi="Arial" w:cs="Arial"/>
          <w:sz w:val="20"/>
          <w:lang w:val="en-GB"/>
        </w:rPr>
        <w:tab/>
      </w:r>
      <w:r w:rsidRPr="000075FF">
        <w:rPr>
          <w:rFonts w:ascii="Arial" w:hAnsi="Arial" w:cs="Arial"/>
          <w:sz w:val="20"/>
          <w:lang w:val="en-GB"/>
        </w:rPr>
        <w:tab/>
      </w:r>
      <w:r w:rsidRPr="000075FF">
        <w:rPr>
          <w:rFonts w:ascii="Arial" w:hAnsi="Arial" w:cs="Arial"/>
          <w:sz w:val="20"/>
          <w:lang w:val="en-GB"/>
        </w:rPr>
        <w:tab/>
      </w:r>
    </w:p>
    <w:p w14:paraId="591F8EBD" w14:textId="77777777" w:rsidR="004D7ADB" w:rsidRPr="000075FF" w:rsidRDefault="004D7ADB" w:rsidP="004D7ADB">
      <w:pPr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ab/>
      </w:r>
      <w:r w:rsidRPr="000075FF">
        <w:rPr>
          <w:rFonts w:ascii="Arial" w:hAnsi="Arial" w:cs="Arial"/>
          <w:sz w:val="20"/>
          <w:lang w:val="en-GB"/>
        </w:rPr>
        <w:tab/>
      </w:r>
      <w:r>
        <w:rPr>
          <w:rFonts w:ascii="Arial" w:hAnsi="Arial" w:cs="Arial"/>
          <w:sz w:val="20"/>
          <w:lang w:val="en-GB"/>
        </w:rPr>
        <w:t xml:space="preserve">  </w:t>
      </w:r>
      <w:r>
        <w:rPr>
          <w:rFonts w:ascii="Arial" w:hAnsi="Arial" w:cs="Arial"/>
          <w:sz w:val="20"/>
          <w:lang w:val="en-GB"/>
        </w:rPr>
        <w:tab/>
      </w:r>
      <w:r w:rsidRPr="000075FF">
        <w:rPr>
          <w:rFonts w:ascii="Arial" w:hAnsi="Arial" w:cs="Arial"/>
          <w:sz w:val="20"/>
          <w:lang w:val="en-GB"/>
        </w:rPr>
        <w:tab/>
      </w:r>
      <w:r w:rsidRPr="000075FF">
        <w:rPr>
          <w:rFonts w:ascii="Arial" w:hAnsi="Arial" w:cs="Arial"/>
          <w:sz w:val="20"/>
          <w:lang w:val="en-GB"/>
        </w:rPr>
        <w:tab/>
      </w:r>
      <w:r w:rsidRPr="000075FF">
        <w:rPr>
          <w:rFonts w:ascii="Arial" w:hAnsi="Arial" w:cs="Arial"/>
          <w:sz w:val="20"/>
          <w:lang w:val="en-GB"/>
        </w:rPr>
        <w:tab/>
      </w:r>
    </w:p>
    <w:p w14:paraId="2AB3D96E" w14:textId="77777777" w:rsidR="004D7ADB" w:rsidRPr="00914132" w:rsidRDefault="004D7ADB" w:rsidP="004D7AD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</w:t>
      </w:r>
      <w:r w:rsidRPr="00914132">
        <w:rPr>
          <w:rFonts w:ascii="Arial" w:hAnsi="Arial" w:cs="Arial"/>
          <w:sz w:val="20"/>
        </w:rPr>
        <w:tab/>
      </w:r>
      <w:r w:rsidRPr="00914132">
        <w:rPr>
          <w:rFonts w:ascii="Arial" w:hAnsi="Arial" w:cs="Arial"/>
          <w:sz w:val="20"/>
        </w:rPr>
        <w:tab/>
      </w:r>
      <w:r w:rsidRPr="00914132">
        <w:rPr>
          <w:rFonts w:ascii="Arial" w:hAnsi="Arial" w:cs="Arial"/>
          <w:sz w:val="20"/>
        </w:rPr>
        <w:tab/>
      </w:r>
      <w:r w:rsidRPr="00914132">
        <w:rPr>
          <w:rFonts w:ascii="Arial" w:hAnsi="Arial" w:cs="Arial"/>
          <w:sz w:val="20"/>
        </w:rPr>
        <w:tab/>
      </w:r>
    </w:p>
    <w:p w14:paraId="50A91299" w14:textId="77777777" w:rsidR="004D7ADB" w:rsidRPr="00C213D6" w:rsidRDefault="004D7ADB" w:rsidP="004D7AD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ab/>
      </w:r>
      <w:r w:rsidRPr="00C213D6">
        <w:rPr>
          <w:rFonts w:ascii="Arial" w:hAnsi="Arial" w:cs="Arial"/>
          <w:sz w:val="20"/>
        </w:rPr>
        <w:tab/>
        <w:t xml:space="preserve">  </w:t>
      </w:r>
      <w:r>
        <w:rPr>
          <w:rFonts w:ascii="Arial" w:hAnsi="Arial" w:cs="Arial"/>
          <w:sz w:val="20"/>
        </w:rPr>
        <w:tab/>
      </w:r>
    </w:p>
    <w:p w14:paraId="013B55EC" w14:textId="77777777" w:rsidR="004D7ADB" w:rsidRDefault="004D7ADB">
      <w:pPr>
        <w:rPr>
          <w:rFonts w:ascii="Arial" w:hAnsi="Arial" w:cs="Arial"/>
          <w:sz w:val="20"/>
        </w:rPr>
      </w:pPr>
    </w:p>
    <w:sectPr w:rsidR="004D7ADB" w:rsidSect="00824A9E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B2A9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972896"/>
    <w:multiLevelType w:val="hybridMultilevel"/>
    <w:tmpl w:val="1D2EDF14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85CD7"/>
    <w:multiLevelType w:val="hybridMultilevel"/>
    <w:tmpl w:val="63CE75C0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162BAF"/>
    <w:multiLevelType w:val="hybridMultilevel"/>
    <w:tmpl w:val="08C4928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14E7C90"/>
    <w:multiLevelType w:val="hybridMultilevel"/>
    <w:tmpl w:val="C510AC2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7636361">
    <w:abstractNumId w:val="3"/>
  </w:num>
  <w:num w:numId="2" w16cid:durableId="930164937">
    <w:abstractNumId w:val="1"/>
  </w:num>
  <w:num w:numId="3" w16cid:durableId="1939289390">
    <w:abstractNumId w:val="2"/>
  </w:num>
  <w:num w:numId="4" w16cid:durableId="820006838">
    <w:abstractNumId w:val="4"/>
  </w:num>
  <w:num w:numId="5" w16cid:durableId="158310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80"/>
    <w:rsid w:val="00003A04"/>
    <w:rsid w:val="000045A4"/>
    <w:rsid w:val="000075FF"/>
    <w:rsid w:val="00012C5F"/>
    <w:rsid w:val="00027F36"/>
    <w:rsid w:val="00044CCD"/>
    <w:rsid w:val="00047CC4"/>
    <w:rsid w:val="000541B9"/>
    <w:rsid w:val="00054814"/>
    <w:rsid w:val="0007314D"/>
    <w:rsid w:val="000777C1"/>
    <w:rsid w:val="0008651B"/>
    <w:rsid w:val="000B0C70"/>
    <w:rsid w:val="000B68A2"/>
    <w:rsid w:val="000C22E0"/>
    <w:rsid w:val="000F222F"/>
    <w:rsid w:val="0011114A"/>
    <w:rsid w:val="00111245"/>
    <w:rsid w:val="001233B5"/>
    <w:rsid w:val="00130EB0"/>
    <w:rsid w:val="00141140"/>
    <w:rsid w:val="0015559C"/>
    <w:rsid w:val="0015711F"/>
    <w:rsid w:val="00162C00"/>
    <w:rsid w:val="001A32CC"/>
    <w:rsid w:val="001B2D7F"/>
    <w:rsid w:val="001D171F"/>
    <w:rsid w:val="001D7885"/>
    <w:rsid w:val="001F6040"/>
    <w:rsid w:val="00207C37"/>
    <w:rsid w:val="00232BD6"/>
    <w:rsid w:val="0024403C"/>
    <w:rsid w:val="0026297B"/>
    <w:rsid w:val="00263928"/>
    <w:rsid w:val="002804D4"/>
    <w:rsid w:val="00281B18"/>
    <w:rsid w:val="00291B87"/>
    <w:rsid w:val="002A777A"/>
    <w:rsid w:val="00301DE2"/>
    <w:rsid w:val="0031162B"/>
    <w:rsid w:val="00321B88"/>
    <w:rsid w:val="003337A7"/>
    <w:rsid w:val="00353A33"/>
    <w:rsid w:val="00373535"/>
    <w:rsid w:val="0038032F"/>
    <w:rsid w:val="00382ED5"/>
    <w:rsid w:val="003A20EF"/>
    <w:rsid w:val="003B5104"/>
    <w:rsid w:val="003D17C3"/>
    <w:rsid w:val="003D73D6"/>
    <w:rsid w:val="003E21FC"/>
    <w:rsid w:val="003F1B80"/>
    <w:rsid w:val="00400A24"/>
    <w:rsid w:val="004020D5"/>
    <w:rsid w:val="004241AF"/>
    <w:rsid w:val="0043258B"/>
    <w:rsid w:val="00437AD9"/>
    <w:rsid w:val="00437BFF"/>
    <w:rsid w:val="004602E5"/>
    <w:rsid w:val="00466832"/>
    <w:rsid w:val="00472199"/>
    <w:rsid w:val="004756EF"/>
    <w:rsid w:val="00483A05"/>
    <w:rsid w:val="004B39EF"/>
    <w:rsid w:val="004B667D"/>
    <w:rsid w:val="004D3388"/>
    <w:rsid w:val="004D7ADB"/>
    <w:rsid w:val="004F0772"/>
    <w:rsid w:val="00504A6E"/>
    <w:rsid w:val="00541AF8"/>
    <w:rsid w:val="00547969"/>
    <w:rsid w:val="00550702"/>
    <w:rsid w:val="0055331C"/>
    <w:rsid w:val="005566B2"/>
    <w:rsid w:val="00564361"/>
    <w:rsid w:val="005840E6"/>
    <w:rsid w:val="005846F0"/>
    <w:rsid w:val="005A51D6"/>
    <w:rsid w:val="005C0E5B"/>
    <w:rsid w:val="005D2134"/>
    <w:rsid w:val="0060126A"/>
    <w:rsid w:val="006024B3"/>
    <w:rsid w:val="0060495B"/>
    <w:rsid w:val="00614657"/>
    <w:rsid w:val="00617DD1"/>
    <w:rsid w:val="00625442"/>
    <w:rsid w:val="00657EEC"/>
    <w:rsid w:val="00682FAF"/>
    <w:rsid w:val="006845D5"/>
    <w:rsid w:val="006D236B"/>
    <w:rsid w:val="006D2DF5"/>
    <w:rsid w:val="006D4CA6"/>
    <w:rsid w:val="006E227A"/>
    <w:rsid w:val="006F4FDA"/>
    <w:rsid w:val="0071553B"/>
    <w:rsid w:val="00733C96"/>
    <w:rsid w:val="00734F72"/>
    <w:rsid w:val="00754545"/>
    <w:rsid w:val="00757134"/>
    <w:rsid w:val="00763009"/>
    <w:rsid w:val="007647C1"/>
    <w:rsid w:val="00770AF3"/>
    <w:rsid w:val="007A5D57"/>
    <w:rsid w:val="007E4B3D"/>
    <w:rsid w:val="007E63A8"/>
    <w:rsid w:val="00806805"/>
    <w:rsid w:val="00815E72"/>
    <w:rsid w:val="00816A00"/>
    <w:rsid w:val="0082069D"/>
    <w:rsid w:val="00822875"/>
    <w:rsid w:val="00824A9E"/>
    <w:rsid w:val="008279F8"/>
    <w:rsid w:val="0083212E"/>
    <w:rsid w:val="00843D6E"/>
    <w:rsid w:val="00853A49"/>
    <w:rsid w:val="00874F41"/>
    <w:rsid w:val="00877BB6"/>
    <w:rsid w:val="008866A1"/>
    <w:rsid w:val="00893DA0"/>
    <w:rsid w:val="0089425D"/>
    <w:rsid w:val="008C0658"/>
    <w:rsid w:val="008D44D7"/>
    <w:rsid w:val="008D6324"/>
    <w:rsid w:val="008E2ED4"/>
    <w:rsid w:val="008F2D26"/>
    <w:rsid w:val="008F33D0"/>
    <w:rsid w:val="0090715D"/>
    <w:rsid w:val="00913004"/>
    <w:rsid w:val="00913F35"/>
    <w:rsid w:val="00914132"/>
    <w:rsid w:val="00914F38"/>
    <w:rsid w:val="00915B37"/>
    <w:rsid w:val="0092268F"/>
    <w:rsid w:val="00940F16"/>
    <w:rsid w:val="009627A8"/>
    <w:rsid w:val="009768A3"/>
    <w:rsid w:val="009816DB"/>
    <w:rsid w:val="009900B2"/>
    <w:rsid w:val="00994B24"/>
    <w:rsid w:val="009A25F6"/>
    <w:rsid w:val="009A37ED"/>
    <w:rsid w:val="009B1C16"/>
    <w:rsid w:val="009B7570"/>
    <w:rsid w:val="009C4B11"/>
    <w:rsid w:val="009C4BE2"/>
    <w:rsid w:val="009C56E9"/>
    <w:rsid w:val="009D06C8"/>
    <w:rsid w:val="009D45A0"/>
    <w:rsid w:val="009F290B"/>
    <w:rsid w:val="009F5275"/>
    <w:rsid w:val="00A11D80"/>
    <w:rsid w:val="00A1304F"/>
    <w:rsid w:val="00A3715C"/>
    <w:rsid w:val="00A44F24"/>
    <w:rsid w:val="00A530F3"/>
    <w:rsid w:val="00A848D1"/>
    <w:rsid w:val="00A87D27"/>
    <w:rsid w:val="00A92377"/>
    <w:rsid w:val="00A97D30"/>
    <w:rsid w:val="00AA2B50"/>
    <w:rsid w:val="00AB0E5B"/>
    <w:rsid w:val="00AB7FE1"/>
    <w:rsid w:val="00AD4997"/>
    <w:rsid w:val="00B169CA"/>
    <w:rsid w:val="00B24A8E"/>
    <w:rsid w:val="00B548E2"/>
    <w:rsid w:val="00B62C26"/>
    <w:rsid w:val="00B644FC"/>
    <w:rsid w:val="00B77104"/>
    <w:rsid w:val="00BA4576"/>
    <w:rsid w:val="00BA76FE"/>
    <w:rsid w:val="00BB64DA"/>
    <w:rsid w:val="00BD09D3"/>
    <w:rsid w:val="00BD2B5D"/>
    <w:rsid w:val="00BE5263"/>
    <w:rsid w:val="00BF1E32"/>
    <w:rsid w:val="00C022D3"/>
    <w:rsid w:val="00C150AF"/>
    <w:rsid w:val="00C213D6"/>
    <w:rsid w:val="00C21E57"/>
    <w:rsid w:val="00C376F4"/>
    <w:rsid w:val="00C37A12"/>
    <w:rsid w:val="00C42C41"/>
    <w:rsid w:val="00C47DF8"/>
    <w:rsid w:val="00C56F4E"/>
    <w:rsid w:val="00C62110"/>
    <w:rsid w:val="00C71D7E"/>
    <w:rsid w:val="00C76118"/>
    <w:rsid w:val="00C827D9"/>
    <w:rsid w:val="00C90412"/>
    <w:rsid w:val="00C910DE"/>
    <w:rsid w:val="00C914B7"/>
    <w:rsid w:val="00C94863"/>
    <w:rsid w:val="00CA0520"/>
    <w:rsid w:val="00CA073A"/>
    <w:rsid w:val="00CA4E7B"/>
    <w:rsid w:val="00CA502A"/>
    <w:rsid w:val="00CA6CA5"/>
    <w:rsid w:val="00CB1767"/>
    <w:rsid w:val="00CC6937"/>
    <w:rsid w:val="00CC6F7A"/>
    <w:rsid w:val="00CD40AD"/>
    <w:rsid w:val="00CF3F94"/>
    <w:rsid w:val="00D41A04"/>
    <w:rsid w:val="00D70958"/>
    <w:rsid w:val="00D8024D"/>
    <w:rsid w:val="00DA03C2"/>
    <w:rsid w:val="00DA2CC1"/>
    <w:rsid w:val="00DA5C60"/>
    <w:rsid w:val="00DA7448"/>
    <w:rsid w:val="00DB3A89"/>
    <w:rsid w:val="00DC0E4D"/>
    <w:rsid w:val="00DD744E"/>
    <w:rsid w:val="00DE27FB"/>
    <w:rsid w:val="00DF2F53"/>
    <w:rsid w:val="00E02177"/>
    <w:rsid w:val="00E049A1"/>
    <w:rsid w:val="00E079D9"/>
    <w:rsid w:val="00E2318C"/>
    <w:rsid w:val="00E247FC"/>
    <w:rsid w:val="00E24A92"/>
    <w:rsid w:val="00E25774"/>
    <w:rsid w:val="00E34400"/>
    <w:rsid w:val="00E7198A"/>
    <w:rsid w:val="00EB5319"/>
    <w:rsid w:val="00EC2AF0"/>
    <w:rsid w:val="00EC394D"/>
    <w:rsid w:val="00EE75EF"/>
    <w:rsid w:val="00F15195"/>
    <w:rsid w:val="00F26231"/>
    <w:rsid w:val="00F3669A"/>
    <w:rsid w:val="00F429C1"/>
    <w:rsid w:val="00F67B61"/>
    <w:rsid w:val="00F973BD"/>
    <w:rsid w:val="00FA791C"/>
    <w:rsid w:val="00FB3FE6"/>
    <w:rsid w:val="00FC455A"/>
    <w:rsid w:val="00FE2CA1"/>
    <w:rsid w:val="00F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081C"/>
  <w15:docId w15:val="{1F1C10F8-4A25-41FD-85DD-FDB344B2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4A9E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824A9E"/>
    <w:rPr>
      <w:color w:val="0000FF"/>
      <w:u w:val="single"/>
    </w:rPr>
  </w:style>
  <w:style w:type="character" w:styleId="BesuchterLink">
    <w:name w:val="FollowedHyperlink"/>
    <w:basedOn w:val="Absatz-Standardschriftart"/>
    <w:rsid w:val="00824A9E"/>
    <w:rPr>
      <w:color w:val="800080"/>
      <w:u w:val="single"/>
    </w:rPr>
  </w:style>
  <w:style w:type="paragraph" w:styleId="Sprechblasentext">
    <w:name w:val="Balloon Text"/>
    <w:basedOn w:val="Standard"/>
    <w:semiHidden/>
    <w:rsid w:val="00044CC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D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rsid w:val="004602E5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4237-1EF4-4796-B306-A8FE3726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TYROLIA AM BALL – Österr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TYROLIA AM BALL – Österr</dc:title>
  <dc:creator>Walter Fiala</dc:creator>
  <cp:lastModifiedBy>Walter Fiala</cp:lastModifiedBy>
  <cp:revision>10</cp:revision>
  <cp:lastPrinted>2023-11-06T18:13:00Z</cp:lastPrinted>
  <dcterms:created xsi:type="dcterms:W3CDTF">2023-11-05T20:02:00Z</dcterms:created>
  <dcterms:modified xsi:type="dcterms:W3CDTF">2023-11-06T18:30:00Z</dcterms:modified>
</cp:coreProperties>
</file>